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67396" w:rsidRDefault="00B67396">
      <w:pPr>
        <w:spacing w:after="240"/>
        <w:rPr>
          <w:rFonts w:ascii="Times New Roman" w:hAnsi="Times New Roman" w:cs="Times New Roman"/>
        </w:rPr>
      </w:pPr>
    </w:p>
    <w:p w:rsidR="00B67396" w:rsidRDefault="00C95592">
      <w:pPr>
        <w:spacing w:after="240"/>
        <w:rPr>
          <w:rFonts w:ascii="Times New Roman" w:hAnsi="Times New Roman" w:cs="Times New Roman"/>
        </w:rPr>
      </w:pPr>
      <w:r>
        <w:rPr>
          <w:rFonts w:ascii="Times New Roman" w:hAnsi="Times New Roman" w:cs="Times New Roman"/>
        </w:rPr>
        <w:t>Institution Affiliation</w:t>
      </w:r>
    </w:p>
    <w:p w:rsidR="00B67396" w:rsidRDefault="00C95592">
      <w:pPr>
        <w:spacing w:before="240" w:after="240"/>
        <w:rPr>
          <w:rFonts w:ascii="Times New Roman" w:hAnsi="Times New Roman" w:cs="Times New Roman"/>
        </w:rPr>
      </w:pPr>
      <w:r>
        <w:rPr>
          <w:rFonts w:ascii="Times New Roman" w:hAnsi="Times New Roman" w:cs="Times New Roman"/>
        </w:rPr>
        <w:t>Course name</w:t>
      </w:r>
    </w:p>
    <w:p w:rsidR="00B67396" w:rsidRDefault="00C95592">
      <w:pPr>
        <w:spacing w:before="240" w:after="240"/>
        <w:rPr>
          <w:rFonts w:ascii="Times New Roman" w:hAnsi="Times New Roman" w:cs="Times New Roman"/>
        </w:rPr>
      </w:pPr>
      <w:r>
        <w:rPr>
          <w:rFonts w:ascii="Times New Roman" w:hAnsi="Times New Roman" w:cs="Times New Roman"/>
        </w:rPr>
        <w:t>Date</w:t>
      </w:r>
    </w:p>
    <w:p w:rsidR="00B67396" w:rsidRDefault="00C95592">
      <w:pPr>
        <w:spacing w:before="240" w:after="240"/>
        <w:jc w:val="center"/>
        <w:rPr>
          <w:rFonts w:ascii="Times New Roman" w:hAnsi="Times New Roman" w:cs="Times New Roman"/>
        </w:rPr>
      </w:pPr>
      <w:r>
        <w:rPr>
          <w:rFonts w:ascii="Times New Roman" w:hAnsi="Times New Roman" w:cs="Times New Roman"/>
        </w:rPr>
        <w:t>Anti-Trust Law Questions</w:t>
      </w:r>
    </w:p>
    <w:p w:rsidR="00B67396" w:rsidRDefault="00C95592">
      <w:pPr>
        <w:spacing w:before="240" w:after="240"/>
        <w:rPr>
          <w:rFonts w:ascii="Times New Roman" w:hAnsi="Times New Roman" w:cs="Times New Roman"/>
        </w:rPr>
      </w:pPr>
      <w:r>
        <w:rPr>
          <w:rFonts w:ascii="Times New Roman" w:hAnsi="Times New Roman" w:cs="Times New Roman"/>
          <w:b/>
          <w:bCs/>
        </w:rPr>
        <w:t xml:space="preserve">1. a. Firms that are caught breaking the anti-trust laws of the U.S.A. can be judged by the Justice Department using per-se illegality or the rule of reason. How does </w:t>
      </w:r>
      <w:r>
        <w:rPr>
          <w:rFonts w:ascii="Times New Roman" w:hAnsi="Times New Roman" w:cs="Times New Roman"/>
          <w:b/>
          <w:bCs/>
        </w:rPr>
        <w:t>McEachern define per-se illegality? How does McEachen define the rule of reason? (0.4 points)</w:t>
      </w:r>
    </w:p>
    <w:p w:rsidR="00B67396" w:rsidRDefault="00C95592">
      <w:pPr>
        <w:spacing w:before="240" w:after="240"/>
        <w:rPr>
          <w:rFonts w:ascii="Times New Roman" w:hAnsi="Times New Roman" w:cs="Times New Roman"/>
        </w:rPr>
      </w:pPr>
      <w:r>
        <w:rPr>
          <w:rFonts w:ascii="Times New Roman" w:hAnsi="Times New Roman" w:cs="Times New Roman"/>
        </w:rPr>
        <w:t xml:space="preserve">i. </w:t>
      </w:r>
      <w:r>
        <w:rPr>
          <w:rFonts w:ascii="Times New Roman" w:hAnsi="Times New Roman" w:cs="Times New Roman"/>
        </w:rPr>
        <w:tab/>
      </w:r>
      <w:r>
        <w:rPr>
          <w:rFonts w:ascii="Times New Roman" w:hAnsi="Times New Roman" w:cs="Times New Roman"/>
        </w:rPr>
        <w:t>Unlawful action in itself is referred by McEachern to as anti-competitive conduct</w:t>
      </w:r>
      <w:r>
        <w:rPr>
          <w:rFonts w:ascii="Times New Roman" w:hAnsi="Times New Roman" w:cs="Times New Roman"/>
        </w:rPr>
        <w:t xml:space="preserve"> which</w:t>
      </w:r>
      <w:r>
        <w:rPr>
          <w:rFonts w:ascii="Times New Roman" w:hAnsi="Times New Roman" w:cs="Times New Roman"/>
        </w:rPr>
        <w:t xml:space="preserve"> is an unconstitutional restriction of trade in compliance with anti-tr</w:t>
      </w:r>
      <w:r>
        <w:rPr>
          <w:rFonts w:ascii="Times New Roman" w:hAnsi="Times New Roman" w:cs="Times New Roman"/>
        </w:rPr>
        <w:t>ust law. In the past, the U.S. Supreme Court has ruled that activities like price-fixing, territorial division or party boycott, irrespective of the reasonableness of such measures, are per se unconstitutional. A kind of anti-trust assessment determines wh</w:t>
      </w:r>
      <w:r>
        <w:rPr>
          <w:rFonts w:ascii="Times New Roman" w:hAnsi="Times New Roman" w:cs="Times New Roman"/>
        </w:rPr>
        <w:t>ether contracts are lawful (verbal or written) between competitors (Ahilborn et al. 287-341).</w:t>
      </w:r>
    </w:p>
    <w:p w:rsidR="00B67396" w:rsidRDefault="00C95592">
      <w:pPr>
        <w:spacing w:before="240" w:after="240"/>
        <w:ind w:firstLine="720"/>
        <w:rPr>
          <w:rFonts w:ascii="Times New Roman" w:hAnsi="Times New Roman" w:cs="Times New Roman"/>
        </w:rPr>
      </w:pPr>
      <w:r>
        <w:rPr>
          <w:rFonts w:ascii="Times New Roman" w:hAnsi="Times New Roman" w:cs="Times New Roman"/>
        </w:rPr>
        <w:t>Some forms of agreements are deemed to violate antitrust law, regardless of other factors, including business purposes or competitive advantages. However, one que</w:t>
      </w:r>
      <w:r>
        <w:rPr>
          <w:rFonts w:ascii="Times New Roman" w:hAnsi="Times New Roman" w:cs="Times New Roman"/>
        </w:rPr>
        <w:t>stion is whether one of these classes is protected by a contract. Price, manufacturing and market division agreements form part of case studies of categories holding illegal in themselves (Ahilborn et al. 287-341).</w:t>
      </w:r>
    </w:p>
    <w:p w:rsidR="00B67396" w:rsidRDefault="00C95592">
      <w:pPr>
        <w:spacing w:before="240" w:after="240"/>
        <w:rPr>
          <w:rFonts w:ascii="Times New Roman" w:hAnsi="Times New Roman" w:cs="Times New Roman"/>
        </w:rPr>
      </w:pPr>
      <w:r>
        <w:rPr>
          <w:rFonts w:ascii="Times New Roman" w:hAnsi="Times New Roman" w:cs="Times New Roman"/>
        </w:rPr>
        <w:t>ii. McEachen advocates the rule of the re</w:t>
      </w:r>
      <w:r>
        <w:rPr>
          <w:rFonts w:ascii="Times New Roman" w:hAnsi="Times New Roman" w:cs="Times New Roman"/>
        </w:rPr>
        <w:t>ason as a legal anti-trust theory which states that trade practices only breach Shepherd's Act whenever trade practice, driven by economic conditions, is unfair. The details of an undertaking whereby the restriction has adhered; its circumstances from when</w:t>
      </w:r>
      <w:r>
        <w:rPr>
          <w:rFonts w:ascii="Times New Roman" w:hAnsi="Times New Roman" w:cs="Times New Roman"/>
        </w:rPr>
        <w:t xml:space="preserve"> the limitation has been imposed; its existence and its consequence, real or likely, must generally be taken into account by Court to decide whether the restriction was not appropriate. All the details are essential in the history of restriction, the evil </w:t>
      </w:r>
      <w:r>
        <w:rPr>
          <w:rFonts w:ascii="Times New Roman" w:hAnsi="Times New Roman" w:cs="Times New Roman"/>
        </w:rPr>
        <w:t>known to exist, the cause why the specific solution has been adopted, the intent or end pursued (Hylton ).</w:t>
      </w:r>
    </w:p>
    <w:p w:rsidR="00B67396" w:rsidRDefault="00C95592">
      <w:pPr>
        <w:spacing w:before="240" w:after="240"/>
        <w:ind w:firstLine="720"/>
        <w:rPr>
          <w:rFonts w:ascii="Times New Roman" w:hAnsi="Times New Roman" w:cs="Times New Roman"/>
        </w:rPr>
      </w:pPr>
      <w:r>
        <w:rPr>
          <w:rFonts w:ascii="Times New Roman" w:hAnsi="Times New Roman" w:cs="Times New Roman"/>
        </w:rPr>
        <w:t>The law of reason would be an interpretation of the Sherman Antitrust act, including some of the critical elements of U.S. anti-trust legislation. Wh</w:t>
      </w:r>
      <w:r>
        <w:rPr>
          <w:rFonts w:ascii="Times New Roman" w:hAnsi="Times New Roman" w:cs="Times New Roman"/>
        </w:rPr>
        <w:t>ile measures including fixing prices are per se deemed illegal, other measures, such as monopoly ownership, should be analyzed by reason but are considered to be unlawful whenever the impact is unjustifiably to curb trade (Hylton ).</w:t>
      </w:r>
    </w:p>
    <w:p w:rsidR="00B67396" w:rsidRDefault="00C95592">
      <w:pPr>
        <w:spacing w:before="240" w:after="240"/>
        <w:rPr>
          <w:rFonts w:ascii="Times New Roman" w:hAnsi="Times New Roman" w:cs="Times New Roman"/>
        </w:rPr>
      </w:pPr>
      <w:r>
        <w:rPr>
          <w:rFonts w:ascii="Times New Roman" w:hAnsi="Times New Roman" w:cs="Times New Roman"/>
          <w:b/>
          <w:bCs/>
        </w:rPr>
        <w:t>b</w:t>
      </w:r>
      <w:r>
        <w:rPr>
          <w:rFonts w:ascii="Times New Roman" w:hAnsi="Times New Roman" w:cs="Times New Roman"/>
        </w:rPr>
        <w:t xml:space="preserve">. </w:t>
      </w:r>
      <w:r>
        <w:rPr>
          <w:rFonts w:ascii="Times New Roman" w:hAnsi="Times New Roman" w:cs="Times New Roman"/>
          <w:b/>
          <w:bCs/>
        </w:rPr>
        <w:t>Assume an industry i</w:t>
      </w:r>
      <w:r>
        <w:rPr>
          <w:rFonts w:ascii="Times New Roman" w:hAnsi="Times New Roman" w:cs="Times New Roman"/>
          <w:b/>
          <w:bCs/>
        </w:rPr>
        <w:t xml:space="preserve">s composed of 5 firms: Firm 1 has 40 percent market share, firm 2 has 30 percent market share, and the remaining three firms have market shares of 10 percent each. Measure the Herfindahl-Hirschman Index (H.H.I.). Show your work. (0.4point) </w:t>
      </w:r>
    </w:p>
    <w:p w:rsidR="00B67396" w:rsidRDefault="00C95592">
      <w:pPr>
        <w:spacing w:before="240" w:after="240"/>
        <w:ind w:firstLine="720"/>
        <w:rPr>
          <w:rFonts w:ascii="Times New Roman" w:hAnsi="Times New Roman" w:cs="Times New Roman"/>
        </w:rPr>
      </w:pPr>
      <w:r>
        <w:rPr>
          <w:rFonts w:ascii="Times New Roman" w:hAnsi="Times New Roman" w:cs="Times New Roman"/>
        </w:rPr>
        <w:t>An H.H.I. is de</w:t>
      </w:r>
      <w:r>
        <w:rPr>
          <w:rFonts w:ascii="Times New Roman" w:hAnsi="Times New Roman" w:cs="Times New Roman"/>
        </w:rPr>
        <w:t>termined by calculating and adding up the market portion of every company within the industry, as shown in the below equation. Considering the five companies, the following is the hypothesis equation:</w:t>
      </w:r>
    </w:p>
    <w:p w:rsidR="00B67396" w:rsidRDefault="00C95592">
      <w:pPr>
        <w:spacing w:before="240" w:after="240"/>
        <w:rPr>
          <w:rFonts w:ascii="Times New Roman" w:hAnsi="Times New Roman" w:cs="Times New Roman"/>
        </w:rPr>
      </w:pPr>
      <w:r>
        <w:rPr>
          <w:rFonts w:ascii="Times New Roman" w:hAnsi="Times New Roman" w:cs="Times New Roman"/>
        </w:rPr>
        <w:t>Firm 1 market share = 40 percent</w:t>
      </w:r>
    </w:p>
    <w:p w:rsidR="00B67396" w:rsidRDefault="00C95592">
      <w:pPr>
        <w:spacing w:before="240" w:after="240"/>
        <w:rPr>
          <w:rFonts w:ascii="Times New Roman" w:hAnsi="Times New Roman" w:cs="Times New Roman"/>
        </w:rPr>
      </w:pPr>
      <w:r>
        <w:rPr>
          <w:rFonts w:ascii="Times New Roman" w:hAnsi="Times New Roman" w:cs="Times New Roman"/>
        </w:rPr>
        <w:t xml:space="preserve">Firm 2 market share = </w:t>
      </w:r>
      <w:r>
        <w:rPr>
          <w:rFonts w:ascii="Times New Roman" w:hAnsi="Times New Roman" w:cs="Times New Roman"/>
        </w:rPr>
        <w:t>3</w:t>
      </w:r>
      <w:r>
        <w:rPr>
          <w:rFonts w:ascii="Times New Roman" w:hAnsi="Times New Roman" w:cs="Times New Roman"/>
        </w:rPr>
        <w:t xml:space="preserve">0 </w:t>
      </w:r>
      <w:r>
        <w:rPr>
          <w:rFonts w:ascii="Times New Roman" w:hAnsi="Times New Roman" w:cs="Times New Roman"/>
        </w:rPr>
        <w:t>percent</w:t>
      </w:r>
    </w:p>
    <w:p w:rsidR="00B67396" w:rsidRDefault="00C95592">
      <w:pPr>
        <w:spacing w:before="240" w:after="240"/>
        <w:rPr>
          <w:rFonts w:ascii="Times New Roman" w:hAnsi="Times New Roman" w:cs="Times New Roman"/>
        </w:rPr>
      </w:pPr>
      <w:r>
        <w:rPr>
          <w:rFonts w:ascii="Times New Roman" w:hAnsi="Times New Roman" w:cs="Times New Roman"/>
        </w:rPr>
        <w:t>Firm 3 market share = 10</w:t>
      </w:r>
      <w:r>
        <w:rPr>
          <w:rFonts w:ascii="Times New Roman" w:hAnsi="Times New Roman" w:cs="Times New Roman"/>
        </w:rPr>
        <w:t xml:space="preserve"> </w:t>
      </w:r>
      <w:r>
        <w:rPr>
          <w:rFonts w:ascii="Times New Roman" w:hAnsi="Times New Roman" w:cs="Times New Roman"/>
        </w:rPr>
        <w:t>percent</w:t>
      </w:r>
    </w:p>
    <w:p w:rsidR="00B67396" w:rsidRDefault="00C95592">
      <w:pPr>
        <w:spacing w:before="240" w:after="240"/>
        <w:rPr>
          <w:rFonts w:ascii="Times New Roman" w:hAnsi="Times New Roman" w:cs="Times New Roman"/>
        </w:rPr>
      </w:pPr>
      <w:r>
        <w:rPr>
          <w:rFonts w:ascii="Times New Roman" w:hAnsi="Times New Roman" w:cs="Times New Roman"/>
        </w:rPr>
        <w:t>Firm 4 market share = 10</w:t>
      </w:r>
      <w:r>
        <w:rPr>
          <w:rFonts w:ascii="Times New Roman" w:hAnsi="Times New Roman" w:cs="Times New Roman"/>
        </w:rPr>
        <w:t xml:space="preserve"> </w:t>
      </w:r>
      <w:r>
        <w:rPr>
          <w:rFonts w:ascii="Times New Roman" w:hAnsi="Times New Roman" w:cs="Times New Roman"/>
        </w:rPr>
        <w:t>percent</w:t>
      </w:r>
    </w:p>
    <w:p w:rsidR="00B67396" w:rsidRDefault="00C95592">
      <w:pPr>
        <w:spacing w:before="240" w:after="240"/>
        <w:rPr>
          <w:rFonts w:ascii="Times New Roman" w:hAnsi="Times New Roman" w:cs="Times New Roman"/>
        </w:rPr>
      </w:pPr>
      <w:r>
        <w:rPr>
          <w:rFonts w:ascii="Times New Roman" w:hAnsi="Times New Roman" w:cs="Times New Roman"/>
        </w:rPr>
        <w:t>Firm 5 market share = 10</w:t>
      </w:r>
      <w:r>
        <w:rPr>
          <w:rFonts w:ascii="Times New Roman" w:hAnsi="Times New Roman" w:cs="Times New Roman"/>
        </w:rPr>
        <w:t xml:space="preserve"> </w:t>
      </w:r>
      <w:r>
        <w:rPr>
          <w:rFonts w:ascii="Times New Roman" w:hAnsi="Times New Roman" w:cs="Times New Roman"/>
        </w:rPr>
        <w:t>percent</w:t>
      </w:r>
    </w:p>
    <w:p w:rsidR="00B67396" w:rsidRDefault="00C95592">
      <w:pPr>
        <w:spacing w:before="240" w:after="240"/>
        <w:rPr>
          <w:rFonts w:ascii="Times New Roman" w:hAnsi="Times New Roman" w:cs="Times New Roman"/>
        </w:rPr>
      </w:pPr>
      <w:r>
        <w:rPr>
          <w:rFonts w:ascii="Times New Roman" w:hAnsi="Times New Roman" w:cs="Times New Roman"/>
        </w:rPr>
        <w:t xml:space="preserve">The HHI equation is as follow </w:t>
      </w:r>
    </w:p>
    <w:p w:rsidR="00B67396" w:rsidRDefault="00C95592">
      <w:pPr>
        <w:spacing w:before="240" w:after="240"/>
        <w:rPr>
          <w:rFonts w:ascii="Times New Roman" w:hAnsi="Times New Roman" w:cs="Times New Roman"/>
        </w:rPr>
      </w:pPr>
      <w:r>
        <w:rPr>
          <w:rFonts w:ascii="Times New Roman" w:hAnsi="Times New Roman" w:cs="Times New Roman"/>
        </w:rPr>
        <w:t>HHI=40</w:t>
      </w:r>
      <w:r>
        <w:rPr>
          <w:rFonts w:ascii="Times New Roman" w:hAnsi="Times New Roman" w:cs="Times New Roman"/>
          <w:vertAlign w:val="superscript"/>
        </w:rPr>
        <w:t>2</w:t>
      </w:r>
      <w:r>
        <w:rPr>
          <w:rFonts w:ascii="Times New Roman" w:hAnsi="Times New Roman" w:cs="Times New Roman"/>
        </w:rPr>
        <w:t>+30</w:t>
      </w:r>
      <w:r>
        <w:rPr>
          <w:rFonts w:ascii="Times New Roman" w:hAnsi="Times New Roman" w:cs="Times New Roman"/>
          <w:vertAlign w:val="superscript"/>
        </w:rPr>
        <w:t>2</w:t>
      </w:r>
      <w:r>
        <w:rPr>
          <w:rFonts w:ascii="Times New Roman" w:hAnsi="Times New Roman" w:cs="Times New Roman"/>
        </w:rPr>
        <w:t>+10</w:t>
      </w:r>
      <w:r>
        <w:rPr>
          <w:rFonts w:ascii="Times New Roman" w:hAnsi="Times New Roman" w:cs="Times New Roman"/>
          <w:vertAlign w:val="superscript"/>
        </w:rPr>
        <w:t>2</w:t>
      </w:r>
      <w:r>
        <w:rPr>
          <w:rFonts w:ascii="Times New Roman" w:hAnsi="Times New Roman" w:cs="Times New Roman"/>
        </w:rPr>
        <w:t>+10</w:t>
      </w:r>
      <w:r>
        <w:rPr>
          <w:rFonts w:ascii="Times New Roman" w:hAnsi="Times New Roman" w:cs="Times New Roman"/>
          <w:vertAlign w:val="superscript"/>
        </w:rPr>
        <w:t>2</w:t>
      </w:r>
      <w:r>
        <w:rPr>
          <w:rFonts w:ascii="Times New Roman" w:hAnsi="Times New Roman" w:cs="Times New Roman"/>
        </w:rPr>
        <w:t>+10</w:t>
      </w:r>
      <w:r>
        <w:rPr>
          <w:rFonts w:ascii="Times New Roman" w:hAnsi="Times New Roman" w:cs="Times New Roman"/>
          <w:vertAlign w:val="superscript"/>
        </w:rPr>
        <w:t>2</w:t>
      </w:r>
    </w:p>
    <w:p w:rsidR="00B67396" w:rsidRDefault="00C95592">
      <w:pPr>
        <w:spacing w:before="240" w:after="240"/>
        <w:rPr>
          <w:rFonts w:ascii="Times New Roman" w:hAnsi="Times New Roman" w:cs="Times New Roman"/>
        </w:rPr>
      </w:pPr>
      <w:r>
        <w:rPr>
          <w:rFonts w:ascii="Times New Roman" w:hAnsi="Times New Roman" w:cs="Times New Roman"/>
        </w:rPr>
        <w:t>1600+900+100+100+100</w:t>
      </w:r>
    </w:p>
    <w:p w:rsidR="00B67396" w:rsidRDefault="00C95592">
      <w:pPr>
        <w:spacing w:before="240" w:after="240"/>
        <w:rPr>
          <w:rFonts w:ascii="Times New Roman" w:hAnsi="Times New Roman" w:cs="Times New Roman"/>
        </w:rPr>
      </w:pPr>
      <w:r>
        <w:rPr>
          <w:rFonts w:ascii="Times New Roman" w:hAnsi="Times New Roman" w:cs="Times New Roman"/>
        </w:rPr>
        <w:t>=2800</w:t>
      </w:r>
    </w:p>
    <w:p w:rsidR="00B67396" w:rsidRDefault="00C95592">
      <w:pPr>
        <w:spacing w:before="240" w:after="240"/>
        <w:rPr>
          <w:rFonts w:ascii="Times New Roman" w:hAnsi="Times New Roman" w:cs="Times New Roman"/>
        </w:rPr>
      </w:pPr>
      <w:r>
        <w:rPr>
          <w:rFonts w:ascii="Times New Roman" w:hAnsi="Times New Roman" w:cs="Times New Roman"/>
        </w:rPr>
        <w:t xml:space="preserve">2. a. </w:t>
      </w:r>
      <w:r>
        <w:rPr>
          <w:rFonts w:ascii="Times New Roman" w:hAnsi="Times New Roman" w:cs="Times New Roman"/>
          <w:b/>
          <w:bCs/>
        </w:rPr>
        <w:t xml:space="preserve">What are the two conditions under which the </w:t>
      </w:r>
      <w:r>
        <w:rPr>
          <w:rFonts w:ascii="Times New Roman" w:hAnsi="Times New Roman" w:cs="Times New Roman"/>
          <w:b/>
          <w:bCs/>
        </w:rPr>
        <w:t>Anti-trust Division of the U.S. Justice Department might challenge a merger of two companies? (0.4 points)</w:t>
      </w:r>
    </w:p>
    <w:p w:rsidR="00B67396" w:rsidRDefault="00C95592">
      <w:pPr>
        <w:spacing w:before="240" w:after="240"/>
        <w:rPr>
          <w:rFonts w:ascii="Times New Roman" w:hAnsi="Times New Roman" w:cs="Times New Roman"/>
        </w:rPr>
      </w:pPr>
      <w:r>
        <w:rPr>
          <w:rFonts w:ascii="Times New Roman" w:hAnsi="Times New Roman" w:cs="Times New Roman"/>
        </w:rPr>
        <w:t>i.</w:t>
      </w:r>
      <w:r>
        <w:rPr>
          <w:rFonts w:ascii="Times New Roman" w:hAnsi="Times New Roman" w:cs="Times New Roman"/>
        </w:rPr>
        <w:tab/>
      </w:r>
      <w:r>
        <w:rPr>
          <w:rFonts w:ascii="Times New Roman" w:hAnsi="Times New Roman" w:cs="Times New Roman"/>
        </w:rPr>
        <w:t xml:space="preserve"> U.S. anti-trust professionals are used to the degree of scepticism of United States regulators against the opinions of direct rivals that can be guided by apparent competitive incentives. Also, in U. S., customers who serve as the main proxy for such an i</w:t>
      </w:r>
      <w:r>
        <w:rPr>
          <w:rFonts w:ascii="Times New Roman" w:hAnsi="Times New Roman" w:cs="Times New Roman"/>
        </w:rPr>
        <w:t xml:space="preserve">mpact of a transaction mostly on consumers were given special consideration (Ham et al.571). </w:t>
      </w:r>
    </w:p>
    <w:p w:rsidR="00B67396" w:rsidRDefault="00C95592">
      <w:pPr>
        <w:spacing w:before="240" w:after="240"/>
        <w:ind w:firstLine="720"/>
        <w:rPr>
          <w:rFonts w:ascii="Times New Roman" w:hAnsi="Times New Roman" w:cs="Times New Roman"/>
        </w:rPr>
      </w:pPr>
      <w:r>
        <w:rPr>
          <w:rFonts w:ascii="Times New Roman" w:hAnsi="Times New Roman" w:cs="Times New Roman"/>
        </w:rPr>
        <w:t>The Merger Evaluation within the E.U. according to the E.M.R. requires third parties, if they choose to demand, to send verbally or in writing feedback and can di</w:t>
      </w:r>
      <w:r>
        <w:rPr>
          <w:rFonts w:ascii="Times New Roman" w:hAnsi="Times New Roman" w:cs="Times New Roman"/>
        </w:rPr>
        <w:t>splay a "considerable interest" to a result of the proposed transaction. In almost every case, the E.C. finds rivals, consumers and suppliers to be more than enough parties (Ham et al.571).</w:t>
      </w:r>
    </w:p>
    <w:p w:rsidR="00B67396" w:rsidRDefault="00C95592">
      <w:pPr>
        <w:spacing w:before="240" w:after="240"/>
        <w:rPr>
          <w:rFonts w:ascii="Times New Roman" w:hAnsi="Times New Roman" w:cs="Times New Roman"/>
        </w:rPr>
      </w:pPr>
      <w:r>
        <w:rPr>
          <w:rFonts w:ascii="Times New Roman" w:hAnsi="Times New Roman" w:cs="Times New Roman"/>
        </w:rPr>
        <w:t xml:space="preserve">ii. </w:t>
      </w:r>
      <w:r>
        <w:rPr>
          <w:rFonts w:ascii="Times New Roman" w:hAnsi="Times New Roman" w:cs="Times New Roman"/>
        </w:rPr>
        <w:tab/>
      </w:r>
      <w:r>
        <w:rPr>
          <w:rFonts w:ascii="Times New Roman" w:hAnsi="Times New Roman" w:cs="Times New Roman"/>
        </w:rPr>
        <w:t>Broad international fusions are subject to time and are vulne</w:t>
      </w:r>
      <w:r>
        <w:rPr>
          <w:rFonts w:ascii="Times New Roman" w:hAnsi="Times New Roman" w:cs="Times New Roman"/>
        </w:rPr>
        <w:t xml:space="preserve">rable to regulatory uncertainties. Thus, even in the face of demanding requests from anti-trust bodies, merger parties are hesitant to litigate. Consequently, any organization of interest can be able to exploit solutions that have international impacts on </w:t>
      </w:r>
      <w:r>
        <w:rPr>
          <w:rFonts w:ascii="Times New Roman" w:hAnsi="Times New Roman" w:cs="Times New Roman"/>
        </w:rPr>
        <w:t xml:space="preserve">spillovers (Ham et al.571). </w:t>
      </w:r>
    </w:p>
    <w:p w:rsidR="00B67396" w:rsidRDefault="00C95592">
      <w:pPr>
        <w:spacing w:before="240" w:after="240"/>
        <w:ind w:firstLine="720"/>
        <w:rPr>
          <w:rFonts w:ascii="Times New Roman" w:hAnsi="Times New Roman" w:cs="Times New Roman"/>
        </w:rPr>
      </w:pPr>
      <w:r>
        <w:rPr>
          <w:rFonts w:ascii="Times New Roman" w:hAnsi="Times New Roman" w:cs="Times New Roman"/>
        </w:rPr>
        <w:t>Merging parties could find they are compelled in a country where the concentration was cleared up, or no anti-trust issues existed to divest business or the permit of property rights (Ham et al.571).</w:t>
      </w:r>
    </w:p>
    <w:p w:rsidR="00B67396" w:rsidRDefault="00C95592">
      <w:pPr>
        <w:spacing w:before="240" w:after="240"/>
        <w:rPr>
          <w:rFonts w:ascii="Times New Roman" w:hAnsi="Times New Roman" w:cs="Times New Roman"/>
        </w:rPr>
      </w:pPr>
      <w:r>
        <w:rPr>
          <w:rFonts w:ascii="Times New Roman" w:hAnsi="Times New Roman" w:cs="Times New Roman"/>
        </w:rPr>
        <w:t>b.</w:t>
      </w:r>
      <w:r>
        <w:rPr>
          <w:rFonts w:ascii="Times New Roman" w:hAnsi="Times New Roman" w:cs="Times New Roman"/>
          <w:b/>
          <w:bCs/>
        </w:rPr>
        <w:t xml:space="preserve"> Give an example of a mer</w:t>
      </w:r>
      <w:r>
        <w:rPr>
          <w:rFonts w:ascii="Times New Roman" w:hAnsi="Times New Roman" w:cs="Times New Roman"/>
          <w:b/>
          <w:bCs/>
        </w:rPr>
        <w:t>ger of two firms or an acquisition of one firm by another from RECENT news. Was the merger or acquisition challenged by the Justice Department? Explain. (you must provide a source for your info)? (0.5point)</w:t>
      </w:r>
    </w:p>
    <w:p w:rsidR="00B67396" w:rsidRDefault="00B67396">
      <w:pPr>
        <w:spacing w:before="240" w:after="240"/>
        <w:ind w:firstLine="720"/>
        <w:rPr>
          <w:rFonts w:ascii="Times New Roman" w:hAnsi="Times New Roman" w:cs="Times New Roman"/>
        </w:rPr>
      </w:pPr>
    </w:p>
    <w:p w:rsidR="00B67396" w:rsidRDefault="00C95592">
      <w:pPr>
        <w:spacing w:before="240" w:after="240"/>
        <w:ind w:firstLine="720"/>
        <w:rPr>
          <w:rFonts w:ascii="Times New Roman" w:hAnsi="Times New Roman" w:cs="Times New Roman"/>
        </w:rPr>
      </w:pPr>
      <w:r>
        <w:rPr>
          <w:rFonts w:ascii="Times New Roman" w:hAnsi="Times New Roman" w:cs="Times New Roman"/>
        </w:rPr>
        <w:t>On 20 August 2019, DOJ confronted the Sabre's re</w:t>
      </w:r>
      <w:r>
        <w:rPr>
          <w:rFonts w:ascii="Times New Roman" w:hAnsi="Times New Roman" w:cs="Times New Roman"/>
        </w:rPr>
        <w:t>commended acquisition of Farelogix on the grounds of "the elimination from the airline booking service market of a disruptive competitor." The Court found that Farelogix provides technology that enables strong links for both airlines and agents, whereas Sa</w:t>
      </w:r>
      <w:r>
        <w:rPr>
          <w:rFonts w:ascii="Times New Roman" w:hAnsi="Times New Roman" w:cs="Times New Roman"/>
        </w:rPr>
        <w:t>bre is operating a two-side airline and travel agent channel. Rely on Ohio v. American Express Co., 138 S.Ct., recently adopted by the Supreme Court. 2274 (2018), according to the courts, the two enterprising companies have no jurisdiction because only bid</w:t>
      </w:r>
      <w:r>
        <w:rPr>
          <w:rFonts w:ascii="Times New Roman" w:hAnsi="Times New Roman" w:cs="Times New Roman"/>
        </w:rPr>
        <w:t>irectional platforms can remain competitive with other bidirectional platforms (Hale et al.).</w:t>
      </w:r>
    </w:p>
    <w:p w:rsidR="00B67396" w:rsidRDefault="00C95592">
      <w:pPr>
        <w:spacing w:before="240" w:after="240"/>
        <w:ind w:firstLine="720"/>
        <w:rPr>
          <w:rFonts w:ascii="Times New Roman" w:hAnsi="Times New Roman" w:cs="Times New Roman"/>
        </w:rPr>
      </w:pPr>
      <w:r>
        <w:rPr>
          <w:rFonts w:ascii="Times New Roman" w:hAnsi="Times New Roman" w:cs="Times New Roman"/>
        </w:rPr>
        <w:t>This is because Sabre is a two-sided system that connects transactions amongst airlines and agencies that its firms are not successful, while Farelogix only offer</w:t>
      </w:r>
      <w:r>
        <w:rPr>
          <w:rFonts w:ascii="Times New Roman" w:hAnsi="Times New Roman" w:cs="Times New Roman"/>
        </w:rPr>
        <w:t>s services for airlines. The DOJ immediately filed an appeal, arguing among others, "when multi-side platforms are often competitives with one rival companies, the district court's decision could have a larger impact on cases that involve competition withi</w:t>
      </w:r>
      <w:r>
        <w:rPr>
          <w:rFonts w:ascii="Times New Roman" w:hAnsi="Times New Roman" w:cs="Times New Roman"/>
        </w:rPr>
        <w:t>n the digital economy" (Hale et al.).</w:t>
      </w:r>
    </w:p>
    <w:p w:rsidR="00B67396" w:rsidRDefault="00C95592">
      <w:pPr>
        <w:spacing w:before="240" w:after="240"/>
        <w:ind w:firstLine="720"/>
        <w:rPr>
          <w:rFonts w:ascii="Times New Roman" w:hAnsi="Times New Roman" w:cs="Times New Roman"/>
        </w:rPr>
      </w:pPr>
      <w:r>
        <w:rPr>
          <w:rFonts w:ascii="Times New Roman" w:hAnsi="Times New Roman" w:cs="Times New Roman"/>
        </w:rPr>
        <w:t xml:space="preserve">However, after the move by the UK Competition and Markets Authority to suppress the operation, Sabre and Farelogix terminate their proposed merger. The Third Circuit abandoned the District Court's decision on July 20, </w:t>
      </w:r>
      <w:r>
        <w:rPr>
          <w:rFonts w:ascii="Times New Roman" w:hAnsi="Times New Roman" w:cs="Times New Roman"/>
        </w:rPr>
        <w:t>2020, by saying that the judgement was moot due to the contested merger's abandonment. The Third Circuit nevertheless stated, "no opinion even before District Court on the benefits of the conflict of the parties." It stated that the order "should not be in</w:t>
      </w:r>
      <w:r>
        <w:rPr>
          <w:rFonts w:ascii="Times New Roman" w:hAnsi="Times New Roman" w:cs="Times New Roman"/>
        </w:rPr>
        <w:t>terpreted as infringing on the persuasive power of the verdict of the District Court" (Hale et al.).</w:t>
      </w:r>
    </w:p>
    <w:p w:rsidR="00B67396" w:rsidRDefault="00C95592">
      <w:pPr>
        <w:spacing w:before="240" w:after="240"/>
        <w:rPr>
          <w:rFonts w:ascii="Times New Roman" w:hAnsi="Times New Roman" w:cs="Times New Roman"/>
        </w:rPr>
      </w:pPr>
      <w:r>
        <w:rPr>
          <w:rFonts w:ascii="Times New Roman" w:hAnsi="Times New Roman" w:cs="Times New Roman"/>
        </w:rPr>
        <w:t>.</w:t>
      </w:r>
      <w:r>
        <w:rPr>
          <w:rFonts w:ascii="Times New Roman" w:hAnsi="Times New Roman" w:cs="Times New Roman"/>
          <w:b/>
          <w:bCs/>
          <w:u w:val="single"/>
        </w:rPr>
        <w:t>Note</w:t>
      </w:r>
      <w:r>
        <w:rPr>
          <w:rFonts w:ascii="Times New Roman" w:hAnsi="Times New Roman" w:cs="Times New Roman"/>
        </w:rPr>
        <w:t>: Every discussion includes grading for M.L.A. in-text citations and works cited list (0.2 points).</w:t>
      </w: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B67396">
      <w:pPr>
        <w:spacing w:before="240" w:after="240"/>
        <w:rPr>
          <w:rFonts w:ascii="Times New Roman" w:hAnsi="Times New Roman" w:cs="Times New Roman"/>
        </w:rPr>
      </w:pPr>
    </w:p>
    <w:p w:rsidR="00B67396" w:rsidRDefault="00C95592">
      <w:pPr>
        <w:spacing w:before="240" w:after="240"/>
        <w:rPr>
          <w:rFonts w:ascii="Times New Roman" w:hAnsi="Times New Roman" w:cs="Times New Roman"/>
        </w:rPr>
      </w:pPr>
      <w:r>
        <w:rPr>
          <w:rFonts w:ascii="Times New Roman" w:hAnsi="Times New Roman" w:cs="Times New Roman"/>
        </w:rPr>
        <w:t>Work cited</w:t>
      </w:r>
    </w:p>
    <w:p w:rsidR="00B67396" w:rsidRDefault="00C95592">
      <w:pPr>
        <w:spacing w:before="240" w:after="240"/>
        <w:rPr>
          <w:rFonts w:ascii="Times New Roman" w:hAnsi="Times New Roman" w:cs="Times New Roman"/>
        </w:rPr>
      </w:pPr>
      <w:r>
        <w:rPr>
          <w:rFonts w:ascii="Times New Roman" w:hAnsi="Times New Roman" w:cs="Times New Roman"/>
        </w:rPr>
        <w:t xml:space="preserve">Ahlborn, Christian, David S. Evans, and A. Jorge Padilla. "The anti-trust economics of tying: a </w:t>
      </w:r>
    </w:p>
    <w:p w:rsidR="00B67396" w:rsidRDefault="00C95592">
      <w:pPr>
        <w:spacing w:before="240" w:after="240"/>
        <w:ind w:firstLine="720"/>
        <w:rPr>
          <w:rFonts w:ascii="Times New Roman" w:hAnsi="Times New Roman" w:cs="Times New Roman"/>
        </w:rPr>
      </w:pPr>
      <w:r>
        <w:rPr>
          <w:rFonts w:ascii="Times New Roman" w:hAnsi="Times New Roman" w:cs="Times New Roman"/>
        </w:rPr>
        <w:t xml:space="preserve">farewell to per se illegality." </w:t>
      </w:r>
      <w:r>
        <w:rPr>
          <w:rFonts w:ascii="Times New Roman" w:hAnsi="Times New Roman" w:cs="Times New Roman"/>
          <w:i/>
          <w:iCs/>
        </w:rPr>
        <w:t>The Antitrust Bulletin</w:t>
      </w:r>
      <w:r>
        <w:rPr>
          <w:rFonts w:ascii="Times New Roman" w:hAnsi="Times New Roman" w:cs="Times New Roman"/>
        </w:rPr>
        <w:t xml:space="preserve"> 49.1-2 (2014): 287-341.</w:t>
      </w:r>
    </w:p>
    <w:p w:rsidR="00B67396" w:rsidRDefault="00C95592">
      <w:pPr>
        <w:spacing w:before="240" w:after="240"/>
        <w:rPr>
          <w:rFonts w:ascii="Times New Roman" w:hAnsi="Times New Roman" w:cs="Times New Roman"/>
        </w:rPr>
      </w:pPr>
      <w:r>
        <w:rPr>
          <w:rFonts w:ascii="Times New Roman" w:hAnsi="Times New Roman" w:cs="Times New Roman"/>
        </w:rPr>
        <w:t xml:space="preserve">Hylton, Keith N. </w:t>
      </w:r>
      <w:r>
        <w:rPr>
          <w:rFonts w:ascii="Times New Roman" w:hAnsi="Times New Roman" w:cs="Times New Roman"/>
          <w:i/>
          <w:iCs/>
        </w:rPr>
        <w:t>Antitrust law: Economic theory and common law evolution</w:t>
      </w:r>
      <w:r>
        <w:rPr>
          <w:rFonts w:ascii="Times New Roman" w:hAnsi="Times New Roman" w:cs="Times New Roman"/>
        </w:rPr>
        <w:t>. Cambri</w:t>
      </w:r>
      <w:r>
        <w:rPr>
          <w:rFonts w:ascii="Times New Roman" w:hAnsi="Times New Roman" w:cs="Times New Roman"/>
        </w:rPr>
        <w:t xml:space="preserve">dge </w:t>
      </w:r>
    </w:p>
    <w:p w:rsidR="00B67396" w:rsidRDefault="00C95592">
      <w:pPr>
        <w:spacing w:before="240" w:after="240"/>
        <w:ind w:firstLine="720"/>
        <w:rPr>
          <w:rFonts w:ascii="Times New Roman" w:hAnsi="Times New Roman" w:cs="Times New Roman"/>
        </w:rPr>
      </w:pPr>
      <w:r>
        <w:rPr>
          <w:rFonts w:ascii="Times New Roman" w:hAnsi="Times New Roman" w:cs="Times New Roman"/>
        </w:rPr>
        <w:t>University Press, 2013.</w:t>
      </w:r>
    </w:p>
    <w:p w:rsidR="00B67396" w:rsidRDefault="00C95592">
      <w:pPr>
        <w:spacing w:before="240" w:after="240"/>
        <w:ind w:left="120" w:hangingChars="50" w:hanging="120"/>
        <w:rPr>
          <w:rFonts w:ascii="Times New Roman" w:hAnsi="Times New Roman" w:cs="Times New Roman"/>
        </w:rPr>
      </w:pPr>
      <w:r>
        <w:rPr>
          <w:rFonts w:ascii="Times New Roman" w:hAnsi="Times New Roman" w:cs="Times New Roman"/>
        </w:rPr>
        <w:t>Ham, Allard D. "International cooperation in the anti-trust field and in particular the agreement</w:t>
      </w:r>
      <w:r>
        <w:rPr>
          <w:rFonts w:ascii="Times New Roman" w:hAnsi="Times New Roman" w:cs="Times New Roman"/>
        </w:rPr>
        <w:tab/>
      </w:r>
      <w:r>
        <w:rPr>
          <w:rFonts w:ascii="Times New Roman" w:hAnsi="Times New Roman" w:cs="Times New Roman"/>
        </w:rPr>
        <w:t xml:space="preserve">between the United States of America and the Commission of the European </w:t>
      </w:r>
      <w:r>
        <w:rPr>
          <w:rFonts w:ascii="Times New Roman" w:hAnsi="Times New Roman" w:cs="Times New Roman"/>
        </w:rPr>
        <w:tab/>
      </w:r>
      <w:r>
        <w:rPr>
          <w:rFonts w:ascii="Times New Roman" w:hAnsi="Times New Roman" w:cs="Times New Roman"/>
        </w:rPr>
        <w:t xml:space="preserve">Communities." </w:t>
      </w:r>
      <w:r>
        <w:rPr>
          <w:rFonts w:ascii="Times New Roman" w:hAnsi="Times New Roman" w:cs="Times New Roman"/>
          <w:i/>
          <w:iCs/>
        </w:rPr>
        <w:t>Common Market L. Rev.</w:t>
      </w:r>
      <w:r>
        <w:rPr>
          <w:rFonts w:ascii="Times New Roman" w:hAnsi="Times New Roman" w:cs="Times New Roman"/>
        </w:rPr>
        <w:t xml:space="preserve"> 30 (2016): 571.</w:t>
      </w:r>
    </w:p>
    <w:p w:rsidR="00B67396" w:rsidRDefault="00C95592">
      <w:pPr>
        <w:spacing w:before="240" w:after="240"/>
        <w:rPr>
          <w:rFonts w:ascii="Times New Roman" w:hAnsi="Times New Roman" w:cs="Times New Roman"/>
        </w:rPr>
      </w:pPr>
      <w:r>
        <w:rPr>
          <w:rFonts w:ascii="Times New Roman" w:hAnsi="Times New Roman" w:cs="Times New Roman"/>
        </w:rPr>
        <w:t>Hale</w:t>
      </w:r>
      <w:r>
        <w:rPr>
          <w:rFonts w:ascii="Times New Roman" w:hAnsi="Times New Roman" w:cs="Times New Roman"/>
        </w:rPr>
        <w:t xml:space="preserve">, Wilmer et al. "Antitrust In 2020 - The Year To Date | JD Supra". </w:t>
      </w:r>
      <w:r>
        <w:rPr>
          <w:rFonts w:ascii="Times New Roman" w:hAnsi="Times New Roman" w:cs="Times New Roman"/>
          <w:i/>
          <w:iCs/>
        </w:rPr>
        <w:t>JD Supra</w:t>
      </w:r>
      <w:r>
        <w:rPr>
          <w:rFonts w:ascii="Times New Roman" w:hAnsi="Times New Roman" w:cs="Times New Roman"/>
        </w:rPr>
        <w:t xml:space="preserve">, 2020, </w:t>
      </w:r>
    </w:p>
    <w:p w:rsidR="00B67396" w:rsidRDefault="00C95592">
      <w:pPr>
        <w:spacing w:before="240" w:after="240"/>
        <w:ind w:firstLine="720"/>
        <w:rPr>
          <w:rFonts w:ascii="Times New Roman" w:hAnsi="Times New Roman" w:cs="Times New Roman"/>
        </w:rPr>
      </w:pPr>
      <w:hyperlink r:id="rId7" w:history="1">
        <w:r>
          <w:rPr>
            <w:rStyle w:val="Hyperlink"/>
            <w:rFonts w:ascii="Times New Roman" w:hAnsi="Times New Roman" w:cs="Times New Roman"/>
          </w:rPr>
          <w:t>https://www.jdsupra.com/legalnews/antitrust-in-2020-the-year-to-date-56982/.</w:t>
        </w:r>
      </w:hyperlink>
    </w:p>
    <w:p w:rsidR="00B67396" w:rsidRDefault="00C95592">
      <w:pPr>
        <w:spacing w:before="240" w:after="240"/>
        <w:rPr>
          <w:rFonts w:ascii="Times New Roman" w:hAnsi="Times New Roman" w:cs="Times New Roman"/>
        </w:rPr>
      </w:pPr>
      <w:r>
        <w:rPr>
          <w:rFonts w:ascii="Times New Roman" w:hAnsi="Times New Roman" w:cs="Times New Roman"/>
        </w:rPr>
        <w:t>Rh</w:t>
      </w:r>
      <w:r>
        <w:rPr>
          <w:rFonts w:ascii="Times New Roman" w:hAnsi="Times New Roman" w:cs="Times New Roman"/>
        </w:rPr>
        <w:t xml:space="preserve">oades, Stephen A. "The herfindahl-hirschman index." </w:t>
      </w:r>
      <w:r>
        <w:rPr>
          <w:rFonts w:ascii="Times New Roman" w:hAnsi="Times New Roman" w:cs="Times New Roman"/>
          <w:i/>
          <w:iCs/>
        </w:rPr>
        <w:t>Fed. Res. Bull.</w:t>
      </w:r>
      <w:r>
        <w:rPr>
          <w:rFonts w:ascii="Times New Roman" w:hAnsi="Times New Roman" w:cs="Times New Roman"/>
        </w:rPr>
        <w:t xml:space="preserve"> 79, (2014): 188.</w:t>
      </w:r>
    </w:p>
    <w:p w:rsidR="00B67396" w:rsidRDefault="00B67396">
      <w:pPr>
        <w:spacing w:before="240" w:after="240"/>
        <w:ind w:firstLine="720"/>
        <w:rPr>
          <w:rFonts w:ascii="Times New Roman" w:hAnsi="Times New Roman" w:cs="Times New Roman"/>
        </w:rPr>
      </w:pPr>
    </w:p>
    <w:p w:rsidR="00B67396" w:rsidRDefault="00B67396">
      <w:pPr>
        <w:spacing w:before="240" w:after="240"/>
        <w:ind w:firstLine="720"/>
        <w:rPr>
          <w:rFonts w:ascii="Times New Roman" w:hAnsi="Times New Roman" w:cs="Times New Roman"/>
        </w:rPr>
      </w:pPr>
    </w:p>
    <w:p w:rsidR="00B67396" w:rsidRDefault="00B67396">
      <w:pPr>
        <w:spacing w:before="240" w:after="240"/>
        <w:rPr>
          <w:rFonts w:ascii="Times New Roman" w:hAnsi="Times New Roman" w:cs="Times New Roman"/>
        </w:rPr>
      </w:pPr>
    </w:p>
    <w:sectPr w:rsidR="00B67396">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C95592">
      <w:r>
        <w:separator/>
      </w:r>
    </w:p>
  </w:endnote>
  <w:endnote w:type="continuationSeparator" w:id="0">
    <w:p w:rsidR="00000000" w:rsidRDefault="00C95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C95592">
      <w:r>
        <w:separator/>
      </w:r>
    </w:p>
  </w:footnote>
  <w:footnote w:type="continuationSeparator" w:id="0">
    <w:p w:rsidR="00000000" w:rsidRDefault="00C95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67396" w:rsidRDefault="00C95592">
    <w:pPr>
      <w:pStyle w:val="Header"/>
      <w:ind w:leftChars="2650" w:left="6360" w:firstLineChars="1058" w:firstLine="2539"/>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margin">
                <wp:posOffset>5323205</wp:posOffset>
              </wp:positionH>
              <wp:positionV relativeFrom="paragraph">
                <wp:posOffset>198120</wp:posOffset>
              </wp:positionV>
              <wp:extent cx="200660" cy="147320"/>
              <wp:effectExtent l="0" t="0" r="0" b="0"/>
              <wp:wrapNone/>
              <wp:docPr id="1" name="Text Box 3"/>
              <wp:cNvGraphicFramePr/>
              <a:graphic xmlns:a="http://schemas.openxmlformats.org/drawingml/2006/main">
                <a:graphicData uri="http://schemas.microsoft.com/office/word/2010/wordprocessingShape">
                  <wps:wsp>
                    <wps:cNvSpPr txBox="1"/>
                    <wps:spPr>
                      <a:xfrm>
                        <a:off x="0" y="0"/>
                        <a:ext cx="200660" cy="147320"/>
                      </a:xfrm>
                      <a:prstGeom prst="rect">
                        <a:avLst/>
                      </a:prstGeom>
                      <a:noFill/>
                      <a:ln>
                        <a:noFill/>
                      </a:ln>
                    </wps:spPr>
                    <wps:txbx>
                      <w:txbxContent>
                        <w:p w:rsidR="00B67396" w:rsidRDefault="00C95592">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lIns="0" tIns="0" rIns="0" bIns="0"/>
                  </wps:wsp>
                </a:graphicData>
              </a:graphic>
            </wp:anchor>
          </w:drawing>
        </mc:Choice>
        <mc:Fallback xmlns:wpsCustomData="http://www.wps.cn/officeDocument/2013/wpsCustomData">
          <w:pict>
            <v:shape id="Text Box 3" o:spid="_x0000_s1026" o:spt="202" type="#_x0000_t202" style="position:absolute;left:0pt;margin-left:419.15pt;margin-top:15.6pt;height:11.6pt;width:15.8pt;mso-position-horizontal-relative:margin;z-index:251659264;mso-width-relative:page;mso-height-relative:page;" filled="f" stroked="f" coordsize="21600,21600" o:gfxdata="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Am7RQ2QAAAAkBAAAPAAAAAAAAAAEAIAAAACIAAABkcnMvZG93&#10;bnJldi54bWxQSwECFAAUAAAACACHTuJAaB460o0BAAAiAwAADgAAAAAAAAABACAAAAAoAQAAZHJz&#10;L2Uyb0RvYy54bWxQSwUGAAAAAAYABgBZAQAAJwUAAAAA&#10;">
              <v:fill on="f" focussize="0,0"/>
              <v:stroke on="f"/>
              <v:imagedata o:title=""/>
              <o:lock v:ext="edit" aspectratio="f"/>
              <v:textbox inset="0mm,0mm,0mm,0mm">
                <w:txbxContent>
                  <w:p>
                    <w:pPr>
                      <w:pStyle w:val="9"/>
                      <w:rPr>
                        <w:rFonts w:hint="default" w:ascii="Times New Roman" w:hAnsi="Times New Roman" w:cs="Times New Roman"/>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PAGE  \* MERGEFORMAT </w:instrText>
                    </w:r>
                    <w:r>
                      <w:rPr>
                        <w:rFonts w:hint="default" w:ascii="Times New Roman" w:hAnsi="Times New Roman" w:cs="Times New Roman"/>
                        <w:sz w:val="24"/>
                        <w:szCs w:val="24"/>
                        <w:lang w:val="en-US"/>
                      </w:rPr>
                      <w:fldChar w:fldCharType="separate"/>
                    </w:r>
                    <w:r>
                      <w:rPr>
                        <w:rFonts w:hint="default" w:ascii="Times New Roman" w:hAnsi="Times New Roman" w:cs="Times New Roman"/>
                        <w:sz w:val="24"/>
                        <w:szCs w:val="24"/>
                        <w:lang w:val="en-US"/>
                      </w:rPr>
                      <w:t>1</w:t>
                    </w:r>
                    <w:r>
                      <w:rPr>
                        <w:rFonts w:hint="default" w:ascii="Times New Roman" w:hAnsi="Times New Roman" w:cs="Times New Roman"/>
                        <w:sz w:val="24"/>
                        <w:szCs w:val="24"/>
                        <w:lang w:val="en-US"/>
                      </w:rPr>
                      <w:fldChar w:fldCharType="end"/>
                    </w:r>
                  </w:p>
                </w:txbxContent>
              </v:textbox>
            </v:shape>
          </w:pict>
        </mc:Fallback>
      </mc:AlternateContent>
    </w:r>
    <w:r>
      <w:rPr>
        <w:rFonts w:ascii="Times New Roman" w:hAnsi="Times New Roman" w:cs="Times New Roman"/>
        <w:sz w:val="24"/>
        <w:szCs w:val="24"/>
      </w:rPr>
      <w:t xml:space="preserve">                                                                                                     Surname</w:t>
    </w:r>
  </w:p>
  <w:p w:rsidR="00B67396" w:rsidRDefault="00B673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396"/>
    <w:rsid w:val="00B67396"/>
    <w:rsid w:val="00C95592"/>
    <w:rsid w:val="128E18D9"/>
    <w:rsid w:val="2B671AAE"/>
    <w:rsid w:val="3801170B"/>
    <w:rsid w:val="3B6C3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74E4F599-8E30-414F-9ED6-B3D6B0C0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qFormat/>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pPr>
      <w:keepNext/>
      <w:spacing w:before="240" w:after="60"/>
      <w:outlineLvl w:val="3"/>
    </w:pPr>
    <w:rPr>
      <w:rFonts w:ascii="Times New Roman" w:eastAsia="Times New Roman" w:hAnsi="Times New Roman" w:cs="Times New Roman"/>
      <w:b/>
      <w:bCs/>
    </w:rPr>
  </w:style>
  <w:style w:type="paragraph" w:styleId="Heading5">
    <w:name w:val="heading 5"/>
    <w:basedOn w:val="Normal"/>
    <w:next w:val="Normal"/>
    <w:qFormat/>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jdsupra.com/legalnews/antitrust-in-2020-the-year-to-date-56982/." TargetMode="Externa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1090</Words>
  <Characters>6216</Characters>
  <Application>Microsoft Office Word</Application>
  <DocSecurity>0</DocSecurity>
  <Lines>51</Lines>
  <Paragraphs>14</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GICHUKI...M</dc:creator>
  <cp:lastModifiedBy>nyoike31@gmail.com</cp:lastModifiedBy>
  <cp:revision>2</cp:revision>
  <cp:lastPrinted>2020-12-03T11:52:00Z</cp:lastPrinted>
  <dcterms:created xsi:type="dcterms:W3CDTF">2020-12-03T15:40:00Z</dcterms:created>
  <dcterms:modified xsi:type="dcterms:W3CDTF">2020-12-03T15:40:00Z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